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附件2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院（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系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2024届毕业生学业进展统计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567"/>
        <w:gridCol w:w="2150"/>
        <w:gridCol w:w="2333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未获学分总计</w:t>
            </w:r>
          </w:p>
        </w:tc>
        <w:tc>
          <w:tcPr>
            <w:tcW w:w="671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未获学分课程名称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GY4NjBkOWM1YWNhYjExNzVlZDY3ZDhlZjkzOGIifQ=="/>
  </w:docVars>
  <w:rsids>
    <w:rsidRoot w:val="2394697F"/>
    <w:rsid w:val="164905AE"/>
    <w:rsid w:val="22F105CE"/>
    <w:rsid w:val="2394697F"/>
    <w:rsid w:val="29805E61"/>
    <w:rsid w:val="5A6F3878"/>
    <w:rsid w:val="639562C3"/>
    <w:rsid w:val="7BB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0</Lines>
  <Paragraphs>0</Paragraphs>
  <TotalTime>0</TotalTime>
  <ScaleCrop>false</ScaleCrop>
  <LinksUpToDate>false</LinksUpToDate>
  <CharactersWithSpaces>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2021-04-08T01:34:00Z</dcterms:created>
  <dc:creator>Administrator</dc:creator>
  <cp:lastModifiedBy>张雪霞</cp:lastModifiedBy>
  <dcterms:modified xsi:type="dcterms:W3CDTF">2023-12-18T01:28:40Z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B318D3E4801746FEB3CCCA91D9DC02C2</vt:lpwstr>
  </property>
</Properties>
</file>