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C1F449">
      <w:pPr>
        <w:spacing w:line="680" w:lineRule="exact"/>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机械系转专业考核工作方案</w:t>
      </w:r>
    </w:p>
    <w:p w14:paraId="3E98236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rPr>
      </w:pPr>
    </w:p>
    <w:p w14:paraId="65F910C8">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为充分发展我校学生的个性、爱好和特长，促进学生健康、全面发展，依据《晋中学院普通本科学生转专业管理办法》以及关于做好2025年春季普通本科学生转专业工作的通知安排，结合机械系实际情况，特制定本方案。</w:t>
      </w:r>
    </w:p>
    <w:p w14:paraId="1F05B169">
      <w:pPr>
        <w:spacing w:line="560" w:lineRule="exact"/>
        <w:rPr>
          <w:rFonts w:hint="eastAsia" w:ascii="黑体" w:hAnsi="黑体" w:eastAsia="黑体"/>
          <w:sz w:val="32"/>
          <w:szCs w:val="32"/>
        </w:rPr>
      </w:pPr>
      <w:r>
        <w:rPr>
          <w:rFonts w:hint="eastAsia" w:ascii="黑体" w:hAnsi="黑体" w:eastAsia="黑体"/>
          <w:sz w:val="32"/>
          <w:szCs w:val="32"/>
        </w:rPr>
        <w:t>一、组织领导</w:t>
      </w:r>
    </w:p>
    <w:p w14:paraId="3873BA13">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组</w:t>
      </w:r>
      <w:r>
        <w:rPr>
          <w:rFonts w:hint="eastAsia" w:ascii="仿宋_GB2312" w:eastAsia="仿宋_GB2312"/>
          <w:sz w:val="32"/>
          <w:szCs w:val="32"/>
          <w:lang w:val="en-US" w:eastAsia="zh-CN"/>
        </w:rPr>
        <w:t xml:space="preserve">  </w:t>
      </w:r>
      <w:r>
        <w:rPr>
          <w:rFonts w:hint="eastAsia" w:ascii="仿宋_GB2312" w:eastAsia="仿宋_GB2312"/>
          <w:sz w:val="32"/>
          <w:szCs w:val="32"/>
        </w:rPr>
        <w:t>长：刘秀军  刘慧玲</w:t>
      </w:r>
    </w:p>
    <w:p w14:paraId="4AB635D5">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副组长：李</w:t>
      </w:r>
      <w:r>
        <w:rPr>
          <w:rFonts w:hint="eastAsia" w:ascii="仿宋_GB2312" w:eastAsia="仿宋_GB2312"/>
          <w:sz w:val="32"/>
          <w:szCs w:val="32"/>
          <w:lang w:val="en-US" w:eastAsia="zh-CN"/>
        </w:rPr>
        <w:t xml:space="preserve">  </w:t>
      </w:r>
      <w:r>
        <w:rPr>
          <w:rFonts w:hint="eastAsia" w:ascii="仿宋_GB2312" w:eastAsia="仿宋_GB2312"/>
          <w:sz w:val="32"/>
          <w:szCs w:val="32"/>
        </w:rPr>
        <w:t>强  刘</w:t>
      </w:r>
      <w:r>
        <w:rPr>
          <w:rFonts w:hint="eastAsia" w:ascii="仿宋_GB2312" w:eastAsia="仿宋_GB2312"/>
          <w:sz w:val="32"/>
          <w:szCs w:val="32"/>
          <w:lang w:val="en-US" w:eastAsia="zh-CN"/>
        </w:rPr>
        <w:t xml:space="preserve">  </w:t>
      </w:r>
      <w:r>
        <w:rPr>
          <w:rFonts w:hint="eastAsia" w:ascii="仿宋_GB2312" w:eastAsia="仿宋_GB2312"/>
          <w:sz w:val="32"/>
          <w:szCs w:val="32"/>
        </w:rPr>
        <w:t>刚</w:t>
      </w:r>
    </w:p>
    <w:p w14:paraId="4B3BF86E">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成</w:t>
      </w:r>
      <w:r>
        <w:rPr>
          <w:rFonts w:hint="eastAsia" w:ascii="仿宋_GB2312" w:eastAsia="仿宋_GB2312"/>
          <w:sz w:val="32"/>
          <w:szCs w:val="32"/>
          <w:lang w:val="en-US" w:eastAsia="zh-CN"/>
        </w:rPr>
        <w:t xml:space="preserve">  </w:t>
      </w:r>
      <w:r>
        <w:rPr>
          <w:rFonts w:hint="eastAsia" w:ascii="仿宋_GB2312" w:eastAsia="仿宋_GB2312"/>
          <w:sz w:val="32"/>
          <w:szCs w:val="32"/>
        </w:rPr>
        <w:t>员：解继红  向</w:t>
      </w:r>
      <w:r>
        <w:rPr>
          <w:rFonts w:hint="eastAsia" w:ascii="仿宋_GB2312" w:eastAsia="仿宋_GB2312"/>
          <w:sz w:val="32"/>
          <w:szCs w:val="32"/>
          <w:lang w:val="en-US" w:eastAsia="zh-CN"/>
        </w:rPr>
        <w:t xml:space="preserve">  </w:t>
      </w:r>
      <w:r>
        <w:rPr>
          <w:rFonts w:hint="eastAsia" w:ascii="仿宋_GB2312" w:eastAsia="仿宋_GB2312"/>
          <w:sz w:val="32"/>
          <w:szCs w:val="32"/>
        </w:rPr>
        <w:t>瑾  张翔宇  白云蛟  潘铭志</w:t>
      </w:r>
    </w:p>
    <w:p w14:paraId="56B67BCF">
      <w:pPr>
        <w:spacing w:line="560" w:lineRule="exact"/>
        <w:rPr>
          <w:rFonts w:hint="eastAsia" w:ascii="黑体" w:hAnsi="黑体" w:eastAsia="黑体"/>
          <w:sz w:val="32"/>
          <w:szCs w:val="32"/>
        </w:rPr>
      </w:pPr>
      <w:r>
        <w:rPr>
          <w:rFonts w:hint="eastAsia" w:ascii="黑体" w:hAnsi="黑体" w:eastAsia="黑体"/>
          <w:sz w:val="32"/>
          <w:szCs w:val="32"/>
        </w:rPr>
        <w:t>二、转入、转出计划</w:t>
      </w:r>
    </w:p>
    <w:tbl>
      <w:tblPr>
        <w:tblStyle w:val="4"/>
        <w:tblW w:w="7620" w:type="dxa"/>
        <w:tblInd w:w="3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2481"/>
        <w:gridCol w:w="992"/>
        <w:gridCol w:w="1387"/>
        <w:gridCol w:w="1005"/>
        <w:gridCol w:w="1035"/>
      </w:tblGrid>
      <w:tr w14:paraId="036B6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720" w:type="dxa"/>
            <w:vAlign w:val="center"/>
          </w:tcPr>
          <w:p w14:paraId="2C1D5778">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b/>
                <w:bCs/>
                <w:kern w:val="0"/>
                <w:sz w:val="20"/>
                <w:szCs w:val="20"/>
              </w:rPr>
            </w:pPr>
            <w:r>
              <w:rPr>
                <w:rFonts w:hint="eastAsia" w:ascii="宋体" w:hAnsi="宋体"/>
                <w:b/>
                <w:bCs/>
                <w:kern w:val="0"/>
                <w:sz w:val="20"/>
                <w:szCs w:val="20"/>
              </w:rPr>
              <w:t>序号</w:t>
            </w:r>
          </w:p>
        </w:tc>
        <w:tc>
          <w:tcPr>
            <w:tcW w:w="2481" w:type="dxa"/>
            <w:vAlign w:val="center"/>
          </w:tcPr>
          <w:p w14:paraId="7CB15A53">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宋体" w:hAnsi="宋体"/>
                <w:b/>
                <w:bCs/>
                <w:kern w:val="0"/>
                <w:sz w:val="20"/>
                <w:szCs w:val="20"/>
              </w:rPr>
            </w:pPr>
            <w:r>
              <w:rPr>
                <w:rFonts w:hint="eastAsia" w:ascii="宋体" w:hAnsi="宋体"/>
                <w:b/>
                <w:bCs/>
                <w:kern w:val="0"/>
                <w:sz w:val="20"/>
                <w:szCs w:val="20"/>
              </w:rPr>
              <w:t>专业名称</w:t>
            </w:r>
          </w:p>
        </w:tc>
        <w:tc>
          <w:tcPr>
            <w:tcW w:w="992" w:type="dxa"/>
            <w:vAlign w:val="center"/>
          </w:tcPr>
          <w:p w14:paraId="3AE32A26">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b/>
                <w:bCs/>
                <w:kern w:val="0"/>
                <w:sz w:val="20"/>
                <w:szCs w:val="20"/>
              </w:rPr>
            </w:pPr>
            <w:r>
              <w:rPr>
                <w:rFonts w:hint="eastAsia" w:ascii="宋体" w:hAnsi="宋体"/>
                <w:b/>
                <w:bCs/>
                <w:kern w:val="0"/>
                <w:sz w:val="20"/>
                <w:szCs w:val="20"/>
              </w:rPr>
              <w:t>2024级</w:t>
            </w:r>
          </w:p>
          <w:p w14:paraId="37D4C15B">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b/>
                <w:bCs/>
                <w:kern w:val="0"/>
                <w:sz w:val="20"/>
                <w:szCs w:val="20"/>
              </w:rPr>
            </w:pPr>
            <w:r>
              <w:rPr>
                <w:rFonts w:hint="eastAsia" w:ascii="宋体" w:hAnsi="宋体"/>
                <w:b/>
                <w:bCs/>
                <w:kern w:val="0"/>
                <w:sz w:val="20"/>
                <w:szCs w:val="20"/>
              </w:rPr>
              <w:t>学生数</w:t>
            </w:r>
          </w:p>
        </w:tc>
        <w:tc>
          <w:tcPr>
            <w:tcW w:w="1387" w:type="dxa"/>
            <w:vAlign w:val="center"/>
          </w:tcPr>
          <w:p w14:paraId="780A99D2">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b/>
                <w:bCs/>
                <w:kern w:val="0"/>
                <w:sz w:val="20"/>
                <w:szCs w:val="20"/>
              </w:rPr>
            </w:pPr>
            <w:r>
              <w:rPr>
                <w:rFonts w:hint="eastAsia" w:ascii="宋体" w:hAnsi="宋体"/>
                <w:b/>
                <w:bCs/>
                <w:kern w:val="0"/>
                <w:sz w:val="20"/>
                <w:szCs w:val="20"/>
              </w:rPr>
              <w:t>招生科类（理）</w:t>
            </w:r>
          </w:p>
        </w:tc>
        <w:tc>
          <w:tcPr>
            <w:tcW w:w="1005" w:type="dxa"/>
            <w:vAlign w:val="center"/>
          </w:tcPr>
          <w:p w14:paraId="49BBFE5B">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b/>
                <w:bCs/>
                <w:kern w:val="0"/>
                <w:sz w:val="20"/>
                <w:szCs w:val="20"/>
              </w:rPr>
            </w:pPr>
            <w:r>
              <w:rPr>
                <w:rFonts w:hint="eastAsia" w:ascii="宋体" w:hAnsi="宋体"/>
                <w:b/>
                <w:bCs/>
                <w:kern w:val="0"/>
                <w:sz w:val="20"/>
                <w:szCs w:val="20"/>
              </w:rPr>
              <w:t>可接收</w:t>
            </w:r>
          </w:p>
          <w:p w14:paraId="4C19C6A5">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b/>
                <w:bCs/>
                <w:kern w:val="0"/>
                <w:sz w:val="20"/>
                <w:szCs w:val="20"/>
              </w:rPr>
            </w:pPr>
            <w:r>
              <w:rPr>
                <w:rFonts w:hint="eastAsia" w:ascii="宋体" w:hAnsi="宋体"/>
                <w:b/>
                <w:bCs/>
                <w:kern w:val="0"/>
                <w:sz w:val="20"/>
                <w:szCs w:val="20"/>
              </w:rPr>
              <w:t>学生数（10%）</w:t>
            </w:r>
          </w:p>
        </w:tc>
        <w:tc>
          <w:tcPr>
            <w:tcW w:w="1035" w:type="dxa"/>
            <w:vAlign w:val="center"/>
          </w:tcPr>
          <w:p w14:paraId="13E67CC3">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b/>
                <w:bCs/>
                <w:kern w:val="0"/>
                <w:sz w:val="20"/>
                <w:szCs w:val="20"/>
              </w:rPr>
            </w:pPr>
            <w:r>
              <w:rPr>
                <w:rFonts w:hint="eastAsia" w:ascii="宋体" w:hAnsi="宋体"/>
                <w:b/>
                <w:bCs/>
                <w:kern w:val="0"/>
                <w:sz w:val="20"/>
                <w:szCs w:val="20"/>
              </w:rPr>
              <w:t>可转出</w:t>
            </w:r>
          </w:p>
          <w:p w14:paraId="0C4D0FFF">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b/>
                <w:bCs/>
                <w:kern w:val="0"/>
                <w:sz w:val="20"/>
                <w:szCs w:val="20"/>
              </w:rPr>
            </w:pPr>
            <w:r>
              <w:rPr>
                <w:rFonts w:hint="eastAsia" w:ascii="宋体" w:hAnsi="宋体"/>
                <w:b/>
                <w:bCs/>
                <w:kern w:val="0"/>
                <w:sz w:val="20"/>
                <w:szCs w:val="20"/>
              </w:rPr>
              <w:t>学生数（20%）</w:t>
            </w:r>
          </w:p>
        </w:tc>
      </w:tr>
      <w:tr w14:paraId="51CEC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0" w:type="dxa"/>
            <w:vAlign w:val="center"/>
          </w:tcPr>
          <w:p w14:paraId="49F106EC">
            <w:pPr>
              <w:widowControl/>
              <w:jc w:val="center"/>
              <w:rPr>
                <w:rFonts w:ascii="Times New Roman" w:hAnsi="Times New Roman"/>
                <w:kern w:val="0"/>
                <w:sz w:val="20"/>
                <w:szCs w:val="20"/>
              </w:rPr>
            </w:pPr>
            <w:r>
              <w:rPr>
                <w:rFonts w:hint="eastAsia" w:ascii="Times New Roman" w:hAnsi="Times New Roman"/>
                <w:kern w:val="0"/>
                <w:sz w:val="20"/>
                <w:szCs w:val="20"/>
              </w:rPr>
              <w:t>1</w:t>
            </w:r>
          </w:p>
        </w:tc>
        <w:tc>
          <w:tcPr>
            <w:tcW w:w="2481" w:type="dxa"/>
            <w:vAlign w:val="center"/>
          </w:tcPr>
          <w:p w14:paraId="3EA35D42">
            <w:pPr>
              <w:jc w:val="center"/>
              <w:rPr>
                <w:rFonts w:ascii="Times New Roman" w:hAnsi="Times New Roman"/>
                <w:kern w:val="0"/>
                <w:sz w:val="20"/>
                <w:szCs w:val="20"/>
              </w:rPr>
            </w:pPr>
            <w:r>
              <w:rPr>
                <w:rFonts w:hint="eastAsia" w:ascii="Times New Roman" w:hAnsi="Times New Roman"/>
                <w:kern w:val="0"/>
                <w:sz w:val="20"/>
                <w:szCs w:val="20"/>
              </w:rPr>
              <w:t>机械设计制造及其自动化</w:t>
            </w:r>
          </w:p>
        </w:tc>
        <w:tc>
          <w:tcPr>
            <w:tcW w:w="992" w:type="dxa"/>
            <w:noWrap/>
            <w:vAlign w:val="center"/>
          </w:tcPr>
          <w:p w14:paraId="1C3D786F">
            <w:pPr>
              <w:widowControl/>
              <w:jc w:val="center"/>
              <w:rPr>
                <w:rFonts w:ascii="Times New Roman" w:hAnsi="Times New Roman"/>
                <w:kern w:val="0"/>
                <w:sz w:val="20"/>
                <w:szCs w:val="20"/>
              </w:rPr>
            </w:pPr>
            <w:r>
              <w:rPr>
                <w:rFonts w:hint="eastAsia" w:ascii="Times New Roman" w:hAnsi="Times New Roman"/>
                <w:sz w:val="18"/>
                <w:szCs w:val="18"/>
              </w:rPr>
              <w:t>159</w:t>
            </w:r>
          </w:p>
        </w:tc>
        <w:tc>
          <w:tcPr>
            <w:tcW w:w="1387" w:type="dxa"/>
            <w:noWrap/>
            <w:vAlign w:val="center"/>
          </w:tcPr>
          <w:p w14:paraId="7D41EA6D">
            <w:pPr>
              <w:widowControl/>
              <w:jc w:val="center"/>
              <w:rPr>
                <w:rFonts w:ascii="Times New Roman" w:hAnsi="Times New Roman"/>
                <w:kern w:val="0"/>
                <w:sz w:val="20"/>
                <w:szCs w:val="20"/>
              </w:rPr>
            </w:pPr>
            <w:r>
              <w:rPr>
                <w:rFonts w:hint="eastAsia" w:ascii="Times New Roman" w:hAnsi="Times New Roman"/>
                <w:kern w:val="0"/>
                <w:sz w:val="20"/>
                <w:szCs w:val="20"/>
              </w:rPr>
              <w:t>理</w:t>
            </w:r>
          </w:p>
        </w:tc>
        <w:tc>
          <w:tcPr>
            <w:tcW w:w="1005" w:type="dxa"/>
            <w:noWrap/>
            <w:vAlign w:val="center"/>
          </w:tcPr>
          <w:p w14:paraId="64CB48F6">
            <w:pPr>
              <w:widowControl/>
              <w:jc w:val="center"/>
              <w:rPr>
                <w:rFonts w:ascii="Times New Roman" w:hAnsi="Times New Roman"/>
                <w:kern w:val="0"/>
                <w:sz w:val="20"/>
                <w:szCs w:val="20"/>
              </w:rPr>
            </w:pPr>
            <w:r>
              <w:rPr>
                <w:rFonts w:hint="eastAsia" w:ascii="Times New Roman" w:hAnsi="Times New Roman"/>
                <w:sz w:val="18"/>
                <w:szCs w:val="18"/>
              </w:rPr>
              <w:t>16</w:t>
            </w:r>
          </w:p>
        </w:tc>
        <w:tc>
          <w:tcPr>
            <w:tcW w:w="1035" w:type="dxa"/>
            <w:noWrap/>
            <w:vAlign w:val="center"/>
          </w:tcPr>
          <w:p w14:paraId="65BAFED3">
            <w:pPr>
              <w:widowControl/>
              <w:jc w:val="center"/>
              <w:rPr>
                <w:rFonts w:ascii="Times New Roman" w:hAnsi="Times New Roman"/>
                <w:kern w:val="0"/>
                <w:sz w:val="20"/>
                <w:szCs w:val="20"/>
              </w:rPr>
            </w:pPr>
            <w:r>
              <w:rPr>
                <w:rFonts w:hint="eastAsia" w:ascii="Times New Roman" w:hAnsi="Times New Roman"/>
                <w:sz w:val="20"/>
                <w:szCs w:val="20"/>
              </w:rPr>
              <w:t>32</w:t>
            </w:r>
          </w:p>
        </w:tc>
      </w:tr>
      <w:tr w14:paraId="4275A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0" w:type="dxa"/>
            <w:vAlign w:val="center"/>
          </w:tcPr>
          <w:p w14:paraId="05F57C5A">
            <w:pPr>
              <w:widowControl/>
              <w:jc w:val="center"/>
              <w:rPr>
                <w:rFonts w:ascii="Times New Roman" w:hAnsi="Times New Roman"/>
                <w:kern w:val="0"/>
                <w:sz w:val="20"/>
                <w:szCs w:val="20"/>
              </w:rPr>
            </w:pPr>
            <w:r>
              <w:rPr>
                <w:rFonts w:hint="eastAsia" w:ascii="Times New Roman" w:hAnsi="Times New Roman"/>
                <w:kern w:val="0"/>
                <w:sz w:val="20"/>
                <w:szCs w:val="20"/>
              </w:rPr>
              <w:t>2</w:t>
            </w:r>
          </w:p>
        </w:tc>
        <w:tc>
          <w:tcPr>
            <w:tcW w:w="2481" w:type="dxa"/>
            <w:vAlign w:val="center"/>
          </w:tcPr>
          <w:p w14:paraId="35B03534">
            <w:pPr>
              <w:jc w:val="center"/>
              <w:rPr>
                <w:rFonts w:ascii="Times New Roman" w:hAnsi="Times New Roman"/>
                <w:kern w:val="0"/>
                <w:sz w:val="20"/>
                <w:szCs w:val="20"/>
              </w:rPr>
            </w:pPr>
            <w:r>
              <w:rPr>
                <w:rFonts w:hint="eastAsia" w:ascii="Times New Roman" w:hAnsi="Times New Roman"/>
                <w:kern w:val="0"/>
                <w:sz w:val="20"/>
                <w:szCs w:val="20"/>
              </w:rPr>
              <w:t>自动化</w:t>
            </w:r>
          </w:p>
        </w:tc>
        <w:tc>
          <w:tcPr>
            <w:tcW w:w="992" w:type="dxa"/>
            <w:noWrap/>
            <w:vAlign w:val="center"/>
          </w:tcPr>
          <w:p w14:paraId="43F5E1AF">
            <w:pPr>
              <w:widowControl/>
              <w:jc w:val="center"/>
              <w:rPr>
                <w:rFonts w:ascii="Times New Roman" w:hAnsi="Times New Roman"/>
                <w:kern w:val="0"/>
                <w:sz w:val="20"/>
                <w:szCs w:val="20"/>
              </w:rPr>
            </w:pPr>
            <w:r>
              <w:rPr>
                <w:rFonts w:hint="eastAsia" w:ascii="Times New Roman" w:hAnsi="Times New Roman"/>
                <w:sz w:val="18"/>
                <w:szCs w:val="18"/>
              </w:rPr>
              <w:t>90</w:t>
            </w:r>
          </w:p>
        </w:tc>
        <w:tc>
          <w:tcPr>
            <w:tcW w:w="1387" w:type="dxa"/>
            <w:noWrap/>
            <w:vAlign w:val="center"/>
          </w:tcPr>
          <w:p w14:paraId="4ADFCF97">
            <w:pPr>
              <w:widowControl/>
              <w:jc w:val="center"/>
              <w:rPr>
                <w:rFonts w:ascii="Times New Roman" w:hAnsi="Times New Roman"/>
                <w:kern w:val="0"/>
                <w:sz w:val="20"/>
                <w:szCs w:val="20"/>
              </w:rPr>
            </w:pPr>
            <w:r>
              <w:rPr>
                <w:rFonts w:hint="eastAsia" w:ascii="Times New Roman" w:hAnsi="Times New Roman"/>
                <w:kern w:val="0"/>
                <w:sz w:val="20"/>
                <w:szCs w:val="20"/>
              </w:rPr>
              <w:t>理</w:t>
            </w:r>
          </w:p>
        </w:tc>
        <w:tc>
          <w:tcPr>
            <w:tcW w:w="1005" w:type="dxa"/>
            <w:noWrap/>
            <w:vAlign w:val="center"/>
          </w:tcPr>
          <w:p w14:paraId="072BA59B">
            <w:pPr>
              <w:widowControl/>
              <w:jc w:val="center"/>
              <w:rPr>
                <w:rFonts w:ascii="Times New Roman" w:hAnsi="Times New Roman"/>
                <w:kern w:val="0"/>
                <w:sz w:val="20"/>
                <w:szCs w:val="20"/>
              </w:rPr>
            </w:pPr>
            <w:r>
              <w:rPr>
                <w:rFonts w:hint="eastAsia" w:ascii="Times New Roman" w:hAnsi="Times New Roman"/>
                <w:sz w:val="18"/>
                <w:szCs w:val="18"/>
              </w:rPr>
              <w:t>9</w:t>
            </w:r>
          </w:p>
        </w:tc>
        <w:tc>
          <w:tcPr>
            <w:tcW w:w="1035" w:type="dxa"/>
            <w:noWrap/>
            <w:vAlign w:val="center"/>
          </w:tcPr>
          <w:p w14:paraId="307CE54E">
            <w:pPr>
              <w:widowControl/>
              <w:jc w:val="center"/>
              <w:rPr>
                <w:rFonts w:ascii="Times New Roman" w:hAnsi="Times New Roman"/>
                <w:kern w:val="0"/>
                <w:sz w:val="20"/>
                <w:szCs w:val="20"/>
              </w:rPr>
            </w:pPr>
            <w:r>
              <w:rPr>
                <w:rFonts w:hint="eastAsia" w:ascii="Times New Roman" w:hAnsi="Times New Roman"/>
                <w:sz w:val="20"/>
                <w:szCs w:val="20"/>
              </w:rPr>
              <w:t>18</w:t>
            </w:r>
          </w:p>
        </w:tc>
      </w:tr>
      <w:tr w14:paraId="4314D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0" w:type="dxa"/>
            <w:vAlign w:val="center"/>
          </w:tcPr>
          <w:p w14:paraId="373EDA2E">
            <w:pPr>
              <w:widowControl/>
              <w:jc w:val="center"/>
              <w:rPr>
                <w:rFonts w:ascii="Times New Roman" w:hAnsi="Times New Roman"/>
                <w:kern w:val="0"/>
                <w:sz w:val="20"/>
                <w:szCs w:val="20"/>
              </w:rPr>
            </w:pPr>
            <w:r>
              <w:rPr>
                <w:rFonts w:hint="eastAsia" w:ascii="Times New Roman" w:hAnsi="Times New Roman"/>
                <w:kern w:val="0"/>
                <w:sz w:val="20"/>
                <w:szCs w:val="20"/>
              </w:rPr>
              <w:t>3</w:t>
            </w:r>
          </w:p>
        </w:tc>
        <w:tc>
          <w:tcPr>
            <w:tcW w:w="2481" w:type="dxa"/>
            <w:vAlign w:val="center"/>
          </w:tcPr>
          <w:p w14:paraId="0144DF2C">
            <w:pPr>
              <w:jc w:val="center"/>
              <w:rPr>
                <w:rFonts w:ascii="Times New Roman" w:hAnsi="Times New Roman"/>
                <w:kern w:val="0"/>
                <w:sz w:val="20"/>
                <w:szCs w:val="20"/>
              </w:rPr>
            </w:pPr>
            <w:r>
              <w:rPr>
                <w:rFonts w:hint="eastAsia" w:ascii="Times New Roman" w:hAnsi="Times New Roman"/>
                <w:kern w:val="0"/>
                <w:sz w:val="20"/>
                <w:szCs w:val="20"/>
              </w:rPr>
              <w:t>轨道交通信号与控制</w:t>
            </w:r>
          </w:p>
        </w:tc>
        <w:tc>
          <w:tcPr>
            <w:tcW w:w="992" w:type="dxa"/>
            <w:noWrap/>
            <w:vAlign w:val="center"/>
          </w:tcPr>
          <w:p w14:paraId="4A3240E6">
            <w:pPr>
              <w:widowControl/>
              <w:jc w:val="center"/>
              <w:rPr>
                <w:rFonts w:ascii="Times New Roman" w:hAnsi="Times New Roman"/>
                <w:kern w:val="0"/>
                <w:sz w:val="20"/>
                <w:szCs w:val="20"/>
              </w:rPr>
            </w:pPr>
            <w:r>
              <w:rPr>
                <w:rFonts w:hint="eastAsia" w:ascii="Times New Roman" w:hAnsi="Times New Roman"/>
                <w:sz w:val="18"/>
                <w:szCs w:val="18"/>
              </w:rPr>
              <w:t>80</w:t>
            </w:r>
          </w:p>
        </w:tc>
        <w:tc>
          <w:tcPr>
            <w:tcW w:w="1387" w:type="dxa"/>
            <w:noWrap/>
            <w:vAlign w:val="center"/>
          </w:tcPr>
          <w:p w14:paraId="04F08DF4">
            <w:pPr>
              <w:widowControl/>
              <w:jc w:val="center"/>
              <w:rPr>
                <w:rFonts w:ascii="Times New Roman" w:hAnsi="Times New Roman"/>
                <w:kern w:val="0"/>
                <w:sz w:val="20"/>
                <w:szCs w:val="20"/>
              </w:rPr>
            </w:pPr>
            <w:r>
              <w:rPr>
                <w:rFonts w:hint="eastAsia" w:ascii="Times New Roman" w:hAnsi="Times New Roman"/>
                <w:kern w:val="0"/>
                <w:sz w:val="20"/>
                <w:szCs w:val="20"/>
              </w:rPr>
              <w:t>理</w:t>
            </w:r>
          </w:p>
        </w:tc>
        <w:tc>
          <w:tcPr>
            <w:tcW w:w="1005" w:type="dxa"/>
            <w:noWrap/>
            <w:vAlign w:val="center"/>
          </w:tcPr>
          <w:p w14:paraId="1B8272C7">
            <w:pPr>
              <w:widowControl/>
              <w:jc w:val="center"/>
              <w:rPr>
                <w:rFonts w:ascii="Times New Roman" w:hAnsi="Times New Roman"/>
                <w:kern w:val="0"/>
                <w:sz w:val="20"/>
                <w:szCs w:val="20"/>
              </w:rPr>
            </w:pPr>
            <w:r>
              <w:rPr>
                <w:rFonts w:hint="eastAsia" w:ascii="Times New Roman" w:hAnsi="Times New Roman"/>
                <w:sz w:val="18"/>
                <w:szCs w:val="18"/>
              </w:rPr>
              <w:t>8</w:t>
            </w:r>
          </w:p>
        </w:tc>
        <w:tc>
          <w:tcPr>
            <w:tcW w:w="1035" w:type="dxa"/>
            <w:noWrap/>
            <w:vAlign w:val="center"/>
          </w:tcPr>
          <w:p w14:paraId="767A0B6A">
            <w:pPr>
              <w:widowControl/>
              <w:jc w:val="center"/>
              <w:rPr>
                <w:rFonts w:ascii="Times New Roman" w:hAnsi="Times New Roman"/>
                <w:kern w:val="0"/>
                <w:sz w:val="20"/>
                <w:szCs w:val="20"/>
              </w:rPr>
            </w:pPr>
            <w:r>
              <w:rPr>
                <w:rFonts w:hint="eastAsia" w:ascii="Times New Roman" w:hAnsi="Times New Roman"/>
                <w:sz w:val="20"/>
                <w:szCs w:val="20"/>
              </w:rPr>
              <w:t>16</w:t>
            </w:r>
          </w:p>
        </w:tc>
      </w:tr>
      <w:tr w14:paraId="2284A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0" w:type="dxa"/>
            <w:vAlign w:val="center"/>
          </w:tcPr>
          <w:p w14:paraId="120FE148">
            <w:pPr>
              <w:widowControl/>
              <w:jc w:val="center"/>
              <w:rPr>
                <w:rFonts w:ascii="Times New Roman" w:hAnsi="Times New Roman"/>
                <w:kern w:val="0"/>
                <w:sz w:val="20"/>
                <w:szCs w:val="20"/>
              </w:rPr>
            </w:pPr>
            <w:r>
              <w:rPr>
                <w:rFonts w:hint="eastAsia" w:ascii="Times New Roman" w:hAnsi="Times New Roman"/>
                <w:kern w:val="0"/>
                <w:sz w:val="20"/>
                <w:szCs w:val="20"/>
              </w:rPr>
              <w:t>4</w:t>
            </w:r>
          </w:p>
        </w:tc>
        <w:tc>
          <w:tcPr>
            <w:tcW w:w="2481" w:type="dxa"/>
            <w:vAlign w:val="center"/>
          </w:tcPr>
          <w:p w14:paraId="06424D25">
            <w:pPr>
              <w:widowControl/>
              <w:jc w:val="center"/>
              <w:rPr>
                <w:rFonts w:ascii="Times New Roman" w:hAnsi="Times New Roman"/>
                <w:kern w:val="0"/>
                <w:sz w:val="20"/>
                <w:szCs w:val="20"/>
              </w:rPr>
            </w:pPr>
            <w:r>
              <w:rPr>
                <w:rFonts w:hint="eastAsia" w:ascii="Times New Roman" w:hAnsi="Times New Roman"/>
                <w:kern w:val="0"/>
                <w:sz w:val="20"/>
                <w:szCs w:val="20"/>
              </w:rPr>
              <w:t>机械电子工程</w:t>
            </w:r>
          </w:p>
        </w:tc>
        <w:tc>
          <w:tcPr>
            <w:tcW w:w="992" w:type="dxa"/>
            <w:noWrap/>
            <w:vAlign w:val="center"/>
          </w:tcPr>
          <w:p w14:paraId="38962A95">
            <w:pPr>
              <w:widowControl/>
              <w:jc w:val="center"/>
              <w:rPr>
                <w:rFonts w:ascii="Times New Roman" w:hAnsi="Times New Roman"/>
                <w:kern w:val="0"/>
                <w:sz w:val="20"/>
                <w:szCs w:val="20"/>
              </w:rPr>
            </w:pPr>
            <w:r>
              <w:rPr>
                <w:rFonts w:hint="eastAsia" w:ascii="Times New Roman" w:hAnsi="Times New Roman"/>
                <w:sz w:val="18"/>
                <w:szCs w:val="18"/>
              </w:rPr>
              <w:t>78</w:t>
            </w:r>
          </w:p>
        </w:tc>
        <w:tc>
          <w:tcPr>
            <w:tcW w:w="1387" w:type="dxa"/>
            <w:noWrap/>
            <w:vAlign w:val="center"/>
          </w:tcPr>
          <w:p w14:paraId="73EC5B0F">
            <w:pPr>
              <w:widowControl/>
              <w:jc w:val="center"/>
              <w:rPr>
                <w:rFonts w:ascii="Times New Roman" w:hAnsi="Times New Roman"/>
                <w:kern w:val="0"/>
                <w:sz w:val="20"/>
                <w:szCs w:val="20"/>
              </w:rPr>
            </w:pPr>
            <w:r>
              <w:rPr>
                <w:rFonts w:hint="eastAsia" w:ascii="Times New Roman" w:hAnsi="Times New Roman"/>
                <w:kern w:val="0"/>
                <w:sz w:val="20"/>
                <w:szCs w:val="20"/>
              </w:rPr>
              <w:t>理</w:t>
            </w:r>
          </w:p>
        </w:tc>
        <w:tc>
          <w:tcPr>
            <w:tcW w:w="1005" w:type="dxa"/>
            <w:noWrap/>
            <w:vAlign w:val="center"/>
          </w:tcPr>
          <w:p w14:paraId="4D6E52D9">
            <w:pPr>
              <w:widowControl/>
              <w:jc w:val="center"/>
              <w:rPr>
                <w:rFonts w:ascii="Times New Roman" w:hAnsi="Times New Roman"/>
                <w:kern w:val="0"/>
                <w:sz w:val="20"/>
                <w:szCs w:val="20"/>
              </w:rPr>
            </w:pPr>
            <w:r>
              <w:rPr>
                <w:rFonts w:hint="eastAsia" w:ascii="Times New Roman" w:hAnsi="Times New Roman"/>
                <w:sz w:val="18"/>
                <w:szCs w:val="18"/>
              </w:rPr>
              <w:t>8</w:t>
            </w:r>
          </w:p>
        </w:tc>
        <w:tc>
          <w:tcPr>
            <w:tcW w:w="1035" w:type="dxa"/>
            <w:noWrap/>
            <w:vAlign w:val="center"/>
          </w:tcPr>
          <w:p w14:paraId="1C6D272D">
            <w:pPr>
              <w:widowControl/>
              <w:jc w:val="center"/>
              <w:rPr>
                <w:rFonts w:ascii="Times New Roman" w:hAnsi="Times New Roman"/>
                <w:kern w:val="0"/>
                <w:sz w:val="20"/>
                <w:szCs w:val="20"/>
              </w:rPr>
            </w:pPr>
            <w:r>
              <w:rPr>
                <w:rFonts w:hint="eastAsia" w:ascii="Times New Roman" w:hAnsi="Times New Roman"/>
                <w:sz w:val="20"/>
                <w:szCs w:val="20"/>
              </w:rPr>
              <w:t>16</w:t>
            </w:r>
          </w:p>
        </w:tc>
      </w:tr>
    </w:tbl>
    <w:p w14:paraId="6F680CA0">
      <w:pPr>
        <w:spacing w:line="560" w:lineRule="exact"/>
        <w:rPr>
          <w:rFonts w:hint="eastAsia" w:ascii="仿宋_GB2312" w:eastAsia="仿宋_GB2312"/>
          <w:b/>
          <w:bCs/>
          <w:sz w:val="32"/>
          <w:szCs w:val="32"/>
        </w:rPr>
      </w:pPr>
      <w:r>
        <w:rPr>
          <w:rFonts w:ascii="黑体" w:hAnsi="黑体" w:eastAsia="黑体"/>
          <w:sz w:val="32"/>
          <w:szCs w:val="32"/>
        </w:rPr>
        <w:t>三、转入条件</w:t>
      </w:r>
    </w:p>
    <w:p w14:paraId="6E0D0EE3">
      <w:pPr>
        <w:spacing w:line="560" w:lineRule="exact"/>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1.申请转专业原则上在一年级第一学期末或第二学期末进行，第一学期末接收转专业学生数量达到限额的专业第二学期末将不再接收报名。退役后复学的学生可以在退役复学相应学期申请留级转专业。</w:t>
      </w:r>
    </w:p>
    <w:p w14:paraId="06010B03">
      <w:pPr>
        <w:spacing w:line="560" w:lineRule="exact"/>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2.拟转入专业与本人高考报考科类一致。</w:t>
      </w:r>
    </w:p>
    <w:p w14:paraId="128108BB">
      <w:pPr>
        <w:spacing w:line="560" w:lineRule="exact"/>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3.学习态度端正，所有课程初修合格，学业成绩排名在本专业前50%（含50%)。</w:t>
      </w:r>
    </w:p>
    <w:p w14:paraId="49246D54">
      <w:pPr>
        <w:spacing w:line="560" w:lineRule="exact"/>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4.对拟转入专业具有较强的兴趣爱好和学习志向，确有专长，转入新专业更有利于发挥其特长。</w:t>
      </w:r>
    </w:p>
    <w:p w14:paraId="6E2B0885">
      <w:pPr>
        <w:spacing w:line="560" w:lineRule="exact"/>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5.身体条件符合专业要求。</w:t>
      </w:r>
    </w:p>
    <w:p w14:paraId="346DCE91">
      <w:pPr>
        <w:spacing w:line="560" w:lineRule="exact"/>
        <w:rPr>
          <w:rFonts w:hint="eastAsia" w:ascii="黑体" w:hAnsi="黑体" w:eastAsia="黑体"/>
          <w:sz w:val="32"/>
          <w:szCs w:val="32"/>
        </w:rPr>
      </w:pPr>
      <w:r>
        <w:rPr>
          <w:rFonts w:hint="eastAsia" w:ascii="黑体" w:hAnsi="黑体" w:eastAsia="黑体"/>
          <w:sz w:val="32"/>
          <w:szCs w:val="32"/>
        </w:rPr>
        <w:t>四．考核内容</w:t>
      </w:r>
    </w:p>
    <w:p w14:paraId="4A580A2E">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考试科目：高等数学、英语</w:t>
      </w:r>
    </w:p>
    <w:p w14:paraId="0CF70D77">
      <w:pPr>
        <w:numPr>
          <w:ilvl w:val="0"/>
          <w:numId w:val="1"/>
        </w:numPr>
        <w:spacing w:line="560" w:lineRule="exact"/>
        <w:rPr>
          <w:rFonts w:ascii="黑体" w:hAnsi="黑体" w:eastAsia="黑体"/>
          <w:sz w:val="32"/>
          <w:szCs w:val="32"/>
        </w:rPr>
      </w:pPr>
      <w:r>
        <w:rPr>
          <w:rFonts w:ascii="黑体" w:hAnsi="黑体" w:eastAsia="黑体"/>
          <w:sz w:val="32"/>
          <w:szCs w:val="32"/>
        </w:rPr>
        <w:t>考核方式</w:t>
      </w:r>
    </w:p>
    <w:p w14:paraId="7CCC4839">
      <w:pPr>
        <w:tabs>
          <w:tab w:val="left" w:pos="720"/>
        </w:tabs>
        <w:spacing w:line="560" w:lineRule="exact"/>
        <w:ind w:firstLine="640" w:firstLineChars="200"/>
        <w:rPr>
          <w:rFonts w:hint="eastAsia" w:ascii="仿宋_GB2312" w:hAnsi="仿宋_GB2312" w:eastAsia="仿宋_GB2312" w:cs="仿宋_GB2312"/>
          <w:sz w:val="32"/>
          <w:szCs w:val="32"/>
        </w:rPr>
      </w:pPr>
      <w:r>
        <w:rPr>
          <w:rFonts w:hint="eastAsia" w:ascii="方正仿宋_GB2312" w:hAnsi="方正仿宋_GB2312" w:eastAsia="方正仿宋_GB2312" w:cs="方正仿宋_GB2312"/>
          <w:color w:val="auto"/>
          <w:sz w:val="32"/>
          <w:szCs w:val="32"/>
        </w:rPr>
        <w:t>资格审核通过的学生，若所报专业的申报人数少于计划接收人数，根据其申请材料直接确定录取；若所报专业的申报人数</w:t>
      </w:r>
      <w:r>
        <w:rPr>
          <w:rFonts w:hint="eastAsia" w:ascii="方正仿宋_GB2312" w:hAnsi="方正仿宋_GB2312" w:eastAsia="方正仿宋_GB2312" w:cs="方正仿宋_GB2312"/>
          <w:color w:val="auto"/>
          <w:sz w:val="32"/>
          <w:szCs w:val="32"/>
          <w:lang w:eastAsia="zh-CN"/>
        </w:rPr>
        <w:t>大</w:t>
      </w:r>
      <w:r>
        <w:rPr>
          <w:rFonts w:hint="eastAsia" w:ascii="方正仿宋_GB2312" w:hAnsi="方正仿宋_GB2312" w:eastAsia="方正仿宋_GB2312" w:cs="方正仿宋_GB2312"/>
          <w:color w:val="auto"/>
          <w:sz w:val="32"/>
          <w:szCs w:val="32"/>
        </w:rPr>
        <w:t>于计划接收人数</w:t>
      </w:r>
      <w:r>
        <w:rPr>
          <w:rFonts w:hint="eastAsia" w:ascii="方正仿宋_GB2312" w:hAnsi="方正仿宋_GB2312" w:eastAsia="方正仿宋_GB2312" w:cs="方正仿宋_GB2312"/>
          <w:color w:val="auto"/>
          <w:sz w:val="32"/>
          <w:szCs w:val="32"/>
          <w:lang w:eastAsia="zh-CN"/>
        </w:rPr>
        <w:t>，需</w:t>
      </w:r>
      <w:r>
        <w:rPr>
          <w:rFonts w:hint="eastAsia" w:ascii="方正仿宋_GB2312" w:hAnsi="方正仿宋_GB2312" w:eastAsia="方正仿宋_GB2312" w:cs="方正仿宋_GB2312"/>
          <w:color w:val="auto"/>
          <w:sz w:val="32"/>
          <w:szCs w:val="32"/>
        </w:rPr>
        <w:t>统一参加</w:t>
      </w:r>
      <w:r>
        <w:rPr>
          <w:rFonts w:hint="eastAsia" w:ascii="方正仿宋_GB2312" w:hAnsi="方正仿宋_GB2312" w:eastAsia="方正仿宋_GB2312" w:cs="方正仿宋_GB2312"/>
          <w:color w:val="auto"/>
          <w:sz w:val="32"/>
          <w:szCs w:val="32"/>
          <w:lang w:eastAsia="zh-CN"/>
        </w:rPr>
        <w:t>本系组织的考试（笔试），</w:t>
      </w:r>
      <w:r>
        <w:rPr>
          <w:rFonts w:hint="eastAsia" w:ascii="方正仿宋_GB2312" w:hAnsi="方正仿宋_GB2312" w:eastAsia="方正仿宋_GB2312" w:cs="方正仿宋_GB2312"/>
          <w:color w:val="auto"/>
          <w:sz w:val="32"/>
          <w:szCs w:val="32"/>
        </w:rPr>
        <w:t>按总分从高到低排序。</w:t>
      </w:r>
    </w:p>
    <w:p w14:paraId="27AFC18D">
      <w:pPr>
        <w:spacing w:line="560" w:lineRule="exact"/>
        <w:rPr>
          <w:rFonts w:hint="eastAsia" w:ascii="黑体" w:hAnsi="黑体" w:eastAsia="黑体"/>
          <w:sz w:val="32"/>
          <w:szCs w:val="32"/>
        </w:rPr>
      </w:pPr>
      <w:r>
        <w:rPr>
          <w:rFonts w:ascii="黑体" w:hAnsi="黑体" w:eastAsia="黑体"/>
          <w:sz w:val="32"/>
          <w:szCs w:val="32"/>
        </w:rPr>
        <w:t>六、考核时间及地点</w:t>
      </w:r>
    </w:p>
    <w:p w14:paraId="1CA10DA6">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考试时间：2月23日上午</w:t>
      </w:r>
    </w:p>
    <w:p w14:paraId="2AD2EA14">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考试地点：机械系统一安排</w:t>
      </w:r>
    </w:p>
    <w:p w14:paraId="5CF7D399">
      <w:pPr>
        <w:spacing w:line="560" w:lineRule="exact"/>
        <w:ind w:firstLine="640" w:firstLineChars="200"/>
        <w:rPr>
          <w:rFonts w:hint="eastAsia" w:ascii="仿宋_GB2312" w:hAnsi="仿宋_GB2312" w:eastAsia="仿宋_GB2312" w:cs="仿宋_GB2312"/>
          <w:sz w:val="32"/>
          <w:szCs w:val="32"/>
        </w:rPr>
      </w:pPr>
    </w:p>
    <w:p w14:paraId="4784A7D2">
      <w:pPr>
        <w:spacing w:line="560" w:lineRule="exact"/>
        <w:ind w:firstLine="640" w:firstLineChars="200"/>
        <w:rPr>
          <w:rFonts w:hint="eastAsia" w:ascii="仿宋_GB2312" w:eastAsia="仿宋_GB2312"/>
          <w:sz w:val="32"/>
          <w:szCs w:val="32"/>
        </w:rPr>
      </w:pPr>
      <w:r>
        <w:rPr>
          <w:rFonts w:ascii="黑体" w:hAnsi="黑体" w:eastAsia="黑体"/>
          <w:sz w:val="32"/>
          <w:szCs w:val="32"/>
        </w:rPr>
        <w:t>联</w:t>
      </w:r>
      <w:r>
        <w:rPr>
          <w:rFonts w:hint="eastAsia" w:ascii="黑体" w:hAnsi="黑体" w:eastAsia="黑体"/>
          <w:sz w:val="32"/>
          <w:szCs w:val="32"/>
          <w:lang w:val="en-US" w:eastAsia="zh-CN"/>
        </w:rPr>
        <w:t xml:space="preserve"> </w:t>
      </w:r>
      <w:r>
        <w:rPr>
          <w:rFonts w:ascii="黑体" w:hAnsi="黑体" w:eastAsia="黑体"/>
          <w:sz w:val="32"/>
          <w:szCs w:val="32"/>
        </w:rPr>
        <w:t>系</w:t>
      </w:r>
      <w:r>
        <w:rPr>
          <w:rFonts w:hint="eastAsia" w:ascii="黑体" w:hAnsi="黑体" w:eastAsia="黑体"/>
          <w:sz w:val="32"/>
          <w:szCs w:val="32"/>
          <w:lang w:val="en-US" w:eastAsia="zh-CN"/>
        </w:rPr>
        <w:t xml:space="preserve"> </w:t>
      </w:r>
      <w:r>
        <w:rPr>
          <w:rFonts w:ascii="黑体" w:hAnsi="黑体" w:eastAsia="黑体"/>
          <w:sz w:val="32"/>
          <w:szCs w:val="32"/>
        </w:rPr>
        <w:t>人：</w:t>
      </w:r>
      <w:r>
        <w:rPr>
          <w:rFonts w:hint="eastAsia" w:ascii="仿宋_GB2312" w:eastAsia="仿宋_GB2312"/>
          <w:sz w:val="32"/>
          <w:szCs w:val="32"/>
        </w:rPr>
        <w:t>刘刚</w:t>
      </w:r>
    </w:p>
    <w:p w14:paraId="47270C57">
      <w:pPr>
        <w:spacing w:line="560" w:lineRule="exact"/>
        <w:ind w:firstLine="640" w:firstLineChars="200"/>
        <w:rPr>
          <w:rFonts w:hint="eastAsia" w:ascii="仿宋_GB2312" w:eastAsia="仿宋_GB2312"/>
          <w:sz w:val="32"/>
          <w:szCs w:val="32"/>
        </w:rPr>
      </w:pPr>
      <w:r>
        <w:rPr>
          <w:rFonts w:ascii="黑体" w:hAnsi="黑体" w:eastAsia="黑体"/>
          <w:sz w:val="32"/>
          <w:szCs w:val="32"/>
        </w:rPr>
        <w:t>联系电话：</w:t>
      </w:r>
      <w:r>
        <w:rPr>
          <w:rFonts w:hint="eastAsia" w:ascii="仿宋_GB2312" w:eastAsia="仿宋_GB2312"/>
          <w:sz w:val="32"/>
          <w:szCs w:val="32"/>
        </w:rPr>
        <w:t>13934189383</w:t>
      </w:r>
      <w:bookmarkStart w:id="0" w:name="_GoBack"/>
      <w:bookmarkEnd w:id="0"/>
    </w:p>
    <w:p w14:paraId="40113268">
      <w:pPr>
        <w:spacing w:line="560" w:lineRule="exact"/>
        <w:ind w:firstLine="640" w:firstLineChars="200"/>
        <w:rPr>
          <w:rFonts w:hint="eastAsia" w:ascii="仿宋_GB2312" w:eastAsia="仿宋_GB2312"/>
          <w:sz w:val="32"/>
          <w:szCs w:val="32"/>
        </w:rPr>
      </w:pPr>
      <w:r>
        <w:rPr>
          <w:rFonts w:ascii="黑体" w:hAnsi="黑体" w:eastAsia="黑体"/>
          <w:sz w:val="32"/>
          <w:szCs w:val="32"/>
        </w:rPr>
        <w:t>办公地点：</w:t>
      </w:r>
      <w:r>
        <w:rPr>
          <w:rFonts w:hint="eastAsia" w:ascii="仿宋_GB2312" w:eastAsia="仿宋_GB2312"/>
          <w:sz w:val="32"/>
          <w:szCs w:val="32"/>
        </w:rPr>
        <w:t>清逸苑③327</w:t>
      </w:r>
    </w:p>
    <w:p w14:paraId="17E67481">
      <w:pPr>
        <w:spacing w:line="560" w:lineRule="exact"/>
        <w:ind w:firstLine="640" w:firstLineChars="200"/>
        <w:rPr>
          <w:rFonts w:hint="eastAsia" w:ascii="仿宋_GB2312" w:eastAsia="仿宋_GB2312"/>
          <w:sz w:val="32"/>
          <w:szCs w:val="32"/>
        </w:rPr>
      </w:pPr>
    </w:p>
    <w:p w14:paraId="6EC7A096">
      <w:pPr>
        <w:spacing w:line="560" w:lineRule="exact"/>
        <w:ind w:firstLine="5760" w:firstLineChars="1800"/>
        <w:rPr>
          <w:rFonts w:hint="eastAsia" w:ascii="仿宋_GB2312" w:eastAsia="仿宋_GB2312"/>
          <w:sz w:val="32"/>
          <w:szCs w:val="32"/>
        </w:rPr>
      </w:pPr>
      <w:r>
        <w:rPr>
          <w:rFonts w:ascii="仿宋_GB2312" w:eastAsia="仿宋_GB2312"/>
          <w:sz w:val="32"/>
          <w:szCs w:val="32"/>
        </w:rPr>
        <w:t>机械系</w:t>
      </w:r>
    </w:p>
    <w:p w14:paraId="4B7A7CCF">
      <w:pPr>
        <w:spacing w:line="560" w:lineRule="exact"/>
        <w:ind w:firstLine="5120" w:firstLineChars="1600"/>
        <w:rPr>
          <w:rFonts w:hint="eastAsia"/>
        </w:rPr>
      </w:pPr>
      <w:r>
        <w:rPr>
          <w:rFonts w:ascii="仿宋_GB2312" w:eastAsia="仿宋_GB2312"/>
          <w:sz w:val="32"/>
          <w:szCs w:val="32"/>
        </w:rPr>
        <w:t>20</w:t>
      </w:r>
      <w:r>
        <w:rPr>
          <w:rFonts w:hint="eastAsia" w:ascii="仿宋_GB2312" w:eastAsia="仿宋_GB2312"/>
          <w:sz w:val="32"/>
          <w:szCs w:val="32"/>
        </w:rPr>
        <w:t>25</w:t>
      </w:r>
      <w:r>
        <w:rPr>
          <w:rFonts w:ascii="仿宋_GB2312" w:eastAsia="仿宋_GB2312"/>
          <w:sz w:val="32"/>
          <w:szCs w:val="32"/>
        </w:rPr>
        <w:t>年</w:t>
      </w:r>
      <w:r>
        <w:rPr>
          <w:rFonts w:hint="eastAsia" w:ascii="仿宋_GB2312" w:eastAsia="仿宋_GB2312"/>
          <w:sz w:val="32"/>
          <w:szCs w:val="32"/>
        </w:rPr>
        <w:t>1</w:t>
      </w:r>
      <w:r>
        <w:rPr>
          <w:rFonts w:ascii="仿宋_GB2312" w:eastAsia="仿宋_GB2312"/>
          <w:sz w:val="32"/>
          <w:szCs w:val="32"/>
        </w:rPr>
        <w:t>月</w:t>
      </w:r>
      <w:r>
        <w:rPr>
          <w:rFonts w:hint="eastAsia" w:ascii="仿宋_GB2312" w:eastAsia="仿宋_GB2312"/>
          <w:sz w:val="32"/>
          <w:szCs w:val="32"/>
        </w:rPr>
        <w:t>13</w:t>
      </w:r>
      <w:r>
        <w:rPr>
          <w:rFonts w:ascii="仿宋_GB2312" w:eastAsia="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25D94A7-CE99-49C2-AB8C-412BC1D4E5D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embedRegular r:id="rId2" w:fontKey="{7CC2A34C-4DE9-4A2A-8A62-219569DC4DB6}"/>
  </w:font>
  <w:font w:name="方正小标宋简体">
    <w:panose1 w:val="03000509000000000000"/>
    <w:charset w:val="86"/>
    <w:family w:val="script"/>
    <w:pitch w:val="default"/>
    <w:sig w:usb0="00000001" w:usb1="080E0000" w:usb2="00000000" w:usb3="00000000" w:csb0="00040000" w:csb1="00000000"/>
    <w:embedRegular r:id="rId3" w:fontKey="{68310FED-E89D-4200-89BD-C6417FE2E263}"/>
  </w:font>
  <w:font w:name="仿宋_GB2312">
    <w:panose1 w:val="02010609030101010101"/>
    <w:charset w:val="86"/>
    <w:family w:val="modern"/>
    <w:pitch w:val="default"/>
    <w:sig w:usb0="00000001" w:usb1="080E0000" w:usb2="00000000" w:usb3="00000000" w:csb0="00040000" w:csb1="00000000"/>
    <w:embedRegular r:id="rId4" w:fontKey="{A8C7E2D2-12D6-42E8-8368-2A94E44B7933}"/>
  </w:font>
  <w:font w:name="方正仿宋_GB2312">
    <w:panose1 w:val="02000000000000000000"/>
    <w:charset w:val="86"/>
    <w:family w:val="auto"/>
    <w:pitch w:val="default"/>
    <w:sig w:usb0="A00002BF" w:usb1="184F6CFA" w:usb2="00000012" w:usb3="00000000" w:csb0="00040001" w:csb1="00000000"/>
    <w:embedRegular r:id="rId5" w:fontKey="{63B7BB01-5F1D-4814-A4CB-F7055926C7F4}"/>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E7F215"/>
    <w:multiLevelType w:val="singleLevel"/>
    <w:tmpl w:val="3DE7F21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561"/>
    <w:rsid w:val="000036B5"/>
    <w:rsid w:val="00006DC5"/>
    <w:rsid w:val="00070048"/>
    <w:rsid w:val="00193BAE"/>
    <w:rsid w:val="00211403"/>
    <w:rsid w:val="00214547"/>
    <w:rsid w:val="002B1E4D"/>
    <w:rsid w:val="002C3511"/>
    <w:rsid w:val="003B27F6"/>
    <w:rsid w:val="00466DFA"/>
    <w:rsid w:val="004702DE"/>
    <w:rsid w:val="005271FE"/>
    <w:rsid w:val="00575B1C"/>
    <w:rsid w:val="00613DF2"/>
    <w:rsid w:val="006A5534"/>
    <w:rsid w:val="006D0A68"/>
    <w:rsid w:val="0072491C"/>
    <w:rsid w:val="007C34CE"/>
    <w:rsid w:val="00831AD7"/>
    <w:rsid w:val="00870123"/>
    <w:rsid w:val="0092694E"/>
    <w:rsid w:val="009A6F46"/>
    <w:rsid w:val="00A31098"/>
    <w:rsid w:val="00A31792"/>
    <w:rsid w:val="00AB6041"/>
    <w:rsid w:val="00C215FC"/>
    <w:rsid w:val="00DC376D"/>
    <w:rsid w:val="00E07514"/>
    <w:rsid w:val="00E37561"/>
    <w:rsid w:val="00E40133"/>
    <w:rsid w:val="00E71107"/>
    <w:rsid w:val="00F35E7C"/>
    <w:rsid w:val="00F46945"/>
    <w:rsid w:val="00FE42D4"/>
    <w:rsid w:val="01D60B10"/>
    <w:rsid w:val="41756AAA"/>
    <w:rsid w:val="59DB3E06"/>
    <w:rsid w:val="79030C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625</Words>
  <Characters>672</Characters>
  <Lines>5</Lines>
  <Paragraphs>1</Paragraphs>
  <TotalTime>7</TotalTime>
  <ScaleCrop>false</ScaleCrop>
  <LinksUpToDate>false</LinksUpToDate>
  <CharactersWithSpaces>694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2025-01-13T00:16:00Z</dcterms:created>
  <dc:creator>刘刚</dc:creator>
  <cp:lastModifiedBy>王燕</cp:lastModifiedBy>
  <dcterms:modified xsi:type="dcterms:W3CDTF">2025-01-22T09:23:39Z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eyJoZGlkIjoiMjU0OGY4NjBkOWM1YWNhYjExNzVlZDY3ZDhlZjkzOGIiLCJ1c2VySWQiOiI0MDI4NDg1NjAifQ==</vt:lpwstr>
  </property>
  <property fmtid="{D5CDD505-2E9C-101B-9397-08002B2CF9AE}" pid="3" name="KSOProductBuildVer">
    <vt:lpwstr>2052-12.1.0.19770</vt:lpwstr>
  </property>
  <property fmtid="{D5CDD505-2E9C-101B-9397-08002B2CF9AE}" pid="4" name="ICV">
    <vt:lpwstr>CBB0F8E03ACF4753A602628B68C2F17D_12</vt:lpwstr>
  </property>
</Properties>
</file>